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79" w:rsidRPr="00330C1E" w:rsidRDefault="004C6579" w:rsidP="00D8518C">
      <w:pPr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330C1E">
        <w:rPr>
          <w:rFonts w:ascii="Arial" w:hAnsi="Arial" w:cs="Arial"/>
          <w:b/>
          <w:sz w:val="24"/>
        </w:rPr>
        <w:t xml:space="preserve">Department of </w:t>
      </w:r>
      <w:r w:rsidR="000112FD" w:rsidRPr="00330C1E">
        <w:rPr>
          <w:rFonts w:ascii="Arial" w:hAnsi="Arial" w:cs="Arial"/>
          <w:b/>
          <w:sz w:val="24"/>
        </w:rPr>
        <w:t xml:space="preserve">Veterans Affairs </w:t>
      </w:r>
      <w:r w:rsidR="00EE3666" w:rsidRPr="00330C1E">
        <w:rPr>
          <w:rFonts w:ascii="Arial" w:hAnsi="Arial" w:cs="Arial"/>
          <w:b/>
          <w:sz w:val="24"/>
        </w:rPr>
        <w:t>Financial Services Center Mandates E</w:t>
      </w:r>
      <w:r w:rsidR="006326B6" w:rsidRPr="00330C1E">
        <w:rPr>
          <w:rFonts w:ascii="Arial" w:hAnsi="Arial" w:cs="Arial"/>
          <w:b/>
          <w:sz w:val="24"/>
        </w:rPr>
        <w:t xml:space="preserve">lectronic </w:t>
      </w:r>
      <w:r w:rsidR="00EE3666" w:rsidRPr="00330C1E">
        <w:rPr>
          <w:rFonts w:ascii="Arial" w:hAnsi="Arial" w:cs="Arial"/>
          <w:b/>
          <w:sz w:val="24"/>
        </w:rPr>
        <w:t>I</w:t>
      </w:r>
      <w:r w:rsidR="006326B6" w:rsidRPr="00330C1E">
        <w:rPr>
          <w:rFonts w:ascii="Arial" w:hAnsi="Arial" w:cs="Arial"/>
          <w:b/>
          <w:sz w:val="24"/>
        </w:rPr>
        <w:t xml:space="preserve">nvoicing </w:t>
      </w:r>
      <w:r w:rsidR="00D8518C" w:rsidRPr="00330C1E">
        <w:rPr>
          <w:rFonts w:ascii="Arial" w:hAnsi="Arial" w:cs="Arial"/>
          <w:b/>
          <w:sz w:val="24"/>
        </w:rPr>
        <w:br/>
      </w:r>
      <w:r w:rsidR="004E6C1B" w:rsidRPr="00330C1E">
        <w:rPr>
          <w:rFonts w:ascii="Arial" w:hAnsi="Arial" w:cs="Arial"/>
          <w:b/>
          <w:szCs w:val="20"/>
        </w:rPr>
        <w:t xml:space="preserve">U.S. Federal Department Seeks to Improve Payment Processing </w:t>
      </w:r>
    </w:p>
    <w:p w:rsidR="00365560" w:rsidRPr="00330C1E" w:rsidRDefault="003B1AD8" w:rsidP="00365560">
      <w:pPr>
        <w:rPr>
          <w:rFonts w:ascii="Arial" w:hAnsi="Arial" w:cs="Arial"/>
          <w:sz w:val="24"/>
        </w:rPr>
      </w:pPr>
      <w:r w:rsidRPr="00330C1E">
        <w:rPr>
          <w:rFonts w:ascii="Arial" w:hAnsi="Arial" w:cs="Arial"/>
          <w:sz w:val="24"/>
        </w:rPr>
        <w:t xml:space="preserve">Atlanta, </w:t>
      </w:r>
      <w:r w:rsidR="004E6C1B" w:rsidRPr="00330C1E">
        <w:rPr>
          <w:rFonts w:ascii="Arial" w:hAnsi="Arial" w:cs="Arial"/>
          <w:sz w:val="24"/>
        </w:rPr>
        <w:t xml:space="preserve">February </w:t>
      </w:r>
      <w:r w:rsidR="00A41F12" w:rsidRPr="00330C1E">
        <w:rPr>
          <w:rFonts w:ascii="Arial" w:hAnsi="Arial" w:cs="Arial"/>
          <w:sz w:val="24"/>
        </w:rPr>
        <w:t>xx 2013</w:t>
      </w:r>
      <w:r w:rsidRPr="00330C1E">
        <w:rPr>
          <w:rFonts w:ascii="Arial" w:hAnsi="Arial" w:cs="Arial"/>
          <w:sz w:val="24"/>
        </w:rPr>
        <w:t xml:space="preserve"> – </w:t>
      </w:r>
      <w:r w:rsidR="00614940" w:rsidRPr="00330C1E">
        <w:rPr>
          <w:rFonts w:ascii="Arial" w:hAnsi="Arial" w:cs="Arial"/>
          <w:sz w:val="24"/>
        </w:rPr>
        <w:t xml:space="preserve">The Department of Veterans Affairs (VA) has finalized actions to mandate electronic invoice submission from suppliers to the VA Financial Services Center (VAFSC). </w:t>
      </w:r>
      <w:r w:rsidR="004C6579" w:rsidRPr="00330C1E">
        <w:rPr>
          <w:rFonts w:ascii="Arial" w:hAnsi="Arial" w:cs="Arial"/>
          <w:sz w:val="24"/>
        </w:rPr>
        <w:t>T</w:t>
      </w:r>
      <w:r w:rsidR="00614940" w:rsidRPr="00330C1E">
        <w:rPr>
          <w:rFonts w:ascii="Arial" w:hAnsi="Arial" w:cs="Arial"/>
          <w:sz w:val="24"/>
        </w:rPr>
        <w:t>he transition</w:t>
      </w:r>
      <w:r w:rsidR="00793CAC" w:rsidRPr="00330C1E">
        <w:rPr>
          <w:rFonts w:ascii="Arial" w:hAnsi="Arial" w:cs="Arial"/>
          <w:sz w:val="24"/>
        </w:rPr>
        <w:t xml:space="preserve"> supports the requirements of</w:t>
      </w:r>
      <w:r w:rsidR="000112FD" w:rsidRPr="00330C1E">
        <w:rPr>
          <w:rFonts w:ascii="Arial" w:hAnsi="Arial" w:cs="Arial"/>
          <w:sz w:val="24"/>
        </w:rPr>
        <w:t xml:space="preserve"> </w:t>
      </w:r>
      <w:r w:rsidR="004C6579" w:rsidRPr="00330C1E">
        <w:rPr>
          <w:rFonts w:ascii="Arial" w:hAnsi="Arial" w:cs="Arial"/>
          <w:sz w:val="24"/>
        </w:rPr>
        <w:t>the</w:t>
      </w:r>
      <w:r w:rsidR="000112FD" w:rsidRPr="00330C1E">
        <w:rPr>
          <w:rFonts w:ascii="Arial" w:hAnsi="Arial" w:cs="Arial"/>
          <w:sz w:val="24"/>
        </w:rPr>
        <w:t xml:space="preserve"> Improper Payment Elimination and Recovery </w:t>
      </w:r>
      <w:r w:rsidR="00EE3666" w:rsidRPr="00330C1E">
        <w:rPr>
          <w:rFonts w:ascii="Arial" w:hAnsi="Arial" w:cs="Arial"/>
          <w:sz w:val="24"/>
        </w:rPr>
        <w:t xml:space="preserve">Improvement </w:t>
      </w:r>
      <w:r w:rsidR="000112FD" w:rsidRPr="00330C1E">
        <w:rPr>
          <w:rFonts w:ascii="Arial" w:hAnsi="Arial" w:cs="Arial"/>
          <w:sz w:val="24"/>
        </w:rPr>
        <w:t>Act</w:t>
      </w:r>
      <w:r w:rsidR="00FE062A" w:rsidRPr="00330C1E">
        <w:rPr>
          <w:rFonts w:ascii="Arial" w:hAnsi="Arial" w:cs="Arial"/>
          <w:sz w:val="24"/>
        </w:rPr>
        <w:t xml:space="preserve"> </w:t>
      </w:r>
      <w:r w:rsidR="004C6579" w:rsidRPr="00330C1E">
        <w:rPr>
          <w:rFonts w:ascii="Arial" w:hAnsi="Arial" w:cs="Arial"/>
          <w:sz w:val="24"/>
        </w:rPr>
        <w:t>signed by President Obama</w:t>
      </w:r>
      <w:r w:rsidR="00FE062A" w:rsidRPr="00330C1E">
        <w:rPr>
          <w:rFonts w:ascii="Arial" w:hAnsi="Arial" w:cs="Arial"/>
          <w:sz w:val="24"/>
        </w:rPr>
        <w:t xml:space="preserve"> </w:t>
      </w:r>
      <w:r w:rsidR="00EE3666" w:rsidRPr="00330C1E">
        <w:rPr>
          <w:rFonts w:ascii="Arial" w:hAnsi="Arial" w:cs="Arial"/>
          <w:sz w:val="24"/>
        </w:rPr>
        <w:t>on January 10, 2013.</w:t>
      </w:r>
      <w:r w:rsidR="000112FD" w:rsidRPr="00330C1E">
        <w:rPr>
          <w:rFonts w:ascii="Arial" w:hAnsi="Arial" w:cs="Arial"/>
          <w:sz w:val="24"/>
        </w:rPr>
        <w:t xml:space="preserve"> </w:t>
      </w:r>
      <w:r w:rsidR="00365560" w:rsidRPr="00330C1E">
        <w:rPr>
          <w:rFonts w:ascii="Arial" w:hAnsi="Arial" w:cs="Arial"/>
          <w:sz w:val="24"/>
        </w:rPr>
        <w:t xml:space="preserve"> The Federal </w:t>
      </w:r>
      <w:r w:rsidR="00EE3666" w:rsidRPr="00330C1E">
        <w:rPr>
          <w:rFonts w:ascii="Arial" w:hAnsi="Arial" w:cs="Arial"/>
          <w:sz w:val="24"/>
        </w:rPr>
        <w:t>Mandate is</w:t>
      </w:r>
      <w:r w:rsidR="00365560" w:rsidRPr="00330C1E">
        <w:rPr>
          <w:rFonts w:ascii="Arial" w:hAnsi="Arial" w:cs="Arial"/>
          <w:sz w:val="24"/>
        </w:rPr>
        <w:t xml:space="preserve"> located in the Federal Registry at </w:t>
      </w:r>
      <w:hyperlink r:id="rId6" w:history="1">
        <w:r w:rsidR="00365560" w:rsidRPr="00330C1E">
          <w:rPr>
            <w:rStyle w:val="Hyperlink"/>
            <w:rFonts w:ascii="Arial" w:hAnsi="Arial" w:cs="Arial"/>
            <w:sz w:val="24"/>
          </w:rPr>
          <w:t>https://federalregister.gov/a/2012-28612</w:t>
        </w:r>
      </w:hyperlink>
      <w:r w:rsidR="00365560" w:rsidRPr="00330C1E">
        <w:rPr>
          <w:rFonts w:ascii="Arial" w:hAnsi="Arial" w:cs="Arial"/>
          <w:sz w:val="24"/>
        </w:rPr>
        <w:t xml:space="preserve"> . </w:t>
      </w:r>
    </w:p>
    <w:p w:rsidR="00D1607B" w:rsidRPr="00330C1E" w:rsidRDefault="00F929FA" w:rsidP="000112FD">
      <w:pPr>
        <w:rPr>
          <w:rFonts w:ascii="Arial" w:hAnsi="Arial" w:cs="Arial"/>
          <w:sz w:val="24"/>
        </w:rPr>
      </w:pPr>
      <w:r w:rsidRPr="00330C1E">
        <w:rPr>
          <w:rFonts w:ascii="Arial" w:hAnsi="Arial" w:cs="Arial"/>
          <w:sz w:val="24"/>
        </w:rPr>
        <w:t>Since 2007</w:t>
      </w:r>
      <w:r w:rsidR="00EE3666" w:rsidRPr="00330C1E">
        <w:rPr>
          <w:rFonts w:ascii="Arial" w:hAnsi="Arial" w:cs="Arial"/>
          <w:sz w:val="24"/>
        </w:rPr>
        <w:t>, VAFSC</w:t>
      </w:r>
      <w:r w:rsidRPr="00330C1E">
        <w:rPr>
          <w:rFonts w:ascii="Arial" w:hAnsi="Arial" w:cs="Arial"/>
          <w:sz w:val="24"/>
        </w:rPr>
        <w:t xml:space="preserve"> has</w:t>
      </w:r>
      <w:r w:rsidR="00793CAC" w:rsidRPr="00330C1E">
        <w:rPr>
          <w:rFonts w:ascii="Arial" w:hAnsi="Arial" w:cs="Arial"/>
          <w:sz w:val="24"/>
        </w:rPr>
        <w:t xml:space="preserve"> expanded electronic invoicing services through OB10, the electronic invoicing network</w:t>
      </w:r>
      <w:r w:rsidR="00EE3666" w:rsidRPr="00330C1E">
        <w:rPr>
          <w:rFonts w:ascii="Arial" w:hAnsi="Arial" w:cs="Arial"/>
          <w:sz w:val="24"/>
        </w:rPr>
        <w:t xml:space="preserve">. </w:t>
      </w:r>
      <w:r w:rsidR="00A41F12" w:rsidRPr="00330C1E">
        <w:rPr>
          <w:rFonts w:ascii="Arial" w:hAnsi="Arial" w:cs="Arial"/>
          <w:sz w:val="24"/>
        </w:rPr>
        <w:t xml:space="preserve"> </w:t>
      </w:r>
      <w:r w:rsidR="00793CAC" w:rsidRPr="00330C1E">
        <w:rPr>
          <w:rFonts w:ascii="Arial" w:hAnsi="Arial" w:cs="Arial"/>
          <w:sz w:val="24"/>
        </w:rPr>
        <w:t>“Electronic invoicing is the l</w:t>
      </w:r>
      <w:r w:rsidR="006761B0" w:rsidRPr="00330C1E">
        <w:rPr>
          <w:rFonts w:ascii="Arial" w:hAnsi="Arial" w:cs="Arial"/>
          <w:sz w:val="24"/>
        </w:rPr>
        <w:t>eading technological solution that</w:t>
      </w:r>
      <w:r w:rsidR="00793CAC" w:rsidRPr="00330C1E">
        <w:rPr>
          <w:rFonts w:ascii="Arial" w:hAnsi="Arial" w:cs="Arial"/>
          <w:sz w:val="24"/>
        </w:rPr>
        <w:t xml:space="preserve"> </w:t>
      </w:r>
      <w:r w:rsidR="006761B0" w:rsidRPr="00330C1E">
        <w:rPr>
          <w:rFonts w:ascii="Arial" w:hAnsi="Arial" w:cs="Arial"/>
          <w:sz w:val="24"/>
        </w:rPr>
        <w:t xml:space="preserve">eliminates error-prone manual processing and </w:t>
      </w:r>
      <w:r w:rsidR="00793CAC" w:rsidRPr="00330C1E">
        <w:rPr>
          <w:rFonts w:ascii="Arial" w:hAnsi="Arial" w:cs="Arial"/>
          <w:sz w:val="24"/>
        </w:rPr>
        <w:t>prevent</w:t>
      </w:r>
      <w:r w:rsidR="006761B0" w:rsidRPr="00330C1E">
        <w:rPr>
          <w:rFonts w:ascii="Arial" w:hAnsi="Arial" w:cs="Arial"/>
          <w:sz w:val="24"/>
        </w:rPr>
        <w:t>s</w:t>
      </w:r>
      <w:r w:rsidR="00793CAC" w:rsidRPr="00330C1E">
        <w:rPr>
          <w:rFonts w:ascii="Arial" w:hAnsi="Arial" w:cs="Arial"/>
          <w:sz w:val="24"/>
        </w:rPr>
        <w:t xml:space="preserve"> improper payments,” says Clint Loeser, </w:t>
      </w:r>
      <w:r w:rsidR="004E6C1B" w:rsidRPr="00330C1E">
        <w:rPr>
          <w:rFonts w:ascii="Arial" w:hAnsi="Arial" w:cs="Arial"/>
          <w:sz w:val="24"/>
        </w:rPr>
        <w:t xml:space="preserve">VAFSC’s </w:t>
      </w:r>
      <w:r w:rsidR="00EE3666" w:rsidRPr="00330C1E">
        <w:rPr>
          <w:rFonts w:ascii="Arial" w:hAnsi="Arial" w:cs="Arial"/>
          <w:sz w:val="24"/>
        </w:rPr>
        <w:t>Director</w:t>
      </w:r>
      <w:r w:rsidR="004E6C1B" w:rsidRPr="00330C1E">
        <w:rPr>
          <w:rFonts w:ascii="Arial" w:hAnsi="Arial" w:cs="Arial"/>
          <w:sz w:val="24"/>
        </w:rPr>
        <w:t xml:space="preserve"> of </w:t>
      </w:r>
      <w:r w:rsidR="00EE3666" w:rsidRPr="00330C1E">
        <w:rPr>
          <w:rFonts w:ascii="Arial" w:hAnsi="Arial" w:cs="Arial"/>
          <w:sz w:val="24"/>
        </w:rPr>
        <w:t>Financial Operations</w:t>
      </w:r>
      <w:r w:rsidR="004E6C1B" w:rsidRPr="00330C1E">
        <w:rPr>
          <w:rFonts w:ascii="Arial" w:hAnsi="Arial" w:cs="Arial"/>
          <w:sz w:val="24"/>
        </w:rPr>
        <w:t>.</w:t>
      </w:r>
      <w:r w:rsidR="00793CAC" w:rsidRPr="00330C1E">
        <w:rPr>
          <w:rFonts w:ascii="Arial" w:hAnsi="Arial" w:cs="Arial"/>
          <w:sz w:val="24"/>
        </w:rPr>
        <w:t xml:space="preserve"> “</w:t>
      </w:r>
      <w:r w:rsidR="006761B0" w:rsidRPr="00330C1E">
        <w:rPr>
          <w:rFonts w:ascii="Arial" w:hAnsi="Arial" w:cs="Arial"/>
          <w:sz w:val="24"/>
        </w:rPr>
        <w:t xml:space="preserve">Receiving e-Invoices from suppliers </w:t>
      </w:r>
      <w:r w:rsidR="00B2729C" w:rsidRPr="00330C1E">
        <w:rPr>
          <w:rFonts w:ascii="Arial" w:hAnsi="Arial" w:cs="Arial"/>
          <w:sz w:val="24"/>
        </w:rPr>
        <w:t xml:space="preserve">ensures </w:t>
      </w:r>
      <w:r w:rsidR="006761B0" w:rsidRPr="00330C1E">
        <w:rPr>
          <w:rFonts w:ascii="Arial" w:hAnsi="Arial" w:cs="Arial"/>
          <w:sz w:val="24"/>
        </w:rPr>
        <w:t xml:space="preserve">a faster, more </w:t>
      </w:r>
      <w:r w:rsidR="004E6C1B" w:rsidRPr="00330C1E">
        <w:rPr>
          <w:rFonts w:ascii="Arial" w:hAnsi="Arial" w:cs="Arial"/>
          <w:sz w:val="24"/>
        </w:rPr>
        <w:t>cost-effective</w:t>
      </w:r>
      <w:r w:rsidR="006761B0" w:rsidRPr="00330C1E">
        <w:rPr>
          <w:rFonts w:ascii="Arial" w:hAnsi="Arial" w:cs="Arial"/>
          <w:sz w:val="24"/>
        </w:rPr>
        <w:t xml:space="preserve"> and transparent </w:t>
      </w:r>
      <w:r w:rsidR="00B2729C" w:rsidRPr="00330C1E">
        <w:rPr>
          <w:rFonts w:ascii="Arial" w:hAnsi="Arial" w:cs="Arial"/>
          <w:sz w:val="24"/>
        </w:rPr>
        <w:t xml:space="preserve">payment </w:t>
      </w:r>
      <w:r w:rsidR="006761B0" w:rsidRPr="00330C1E">
        <w:rPr>
          <w:rFonts w:ascii="Arial" w:hAnsi="Arial" w:cs="Arial"/>
          <w:sz w:val="24"/>
        </w:rPr>
        <w:t>process.”</w:t>
      </w:r>
      <w:r w:rsidR="004E6C1B" w:rsidRPr="00330C1E">
        <w:rPr>
          <w:rFonts w:ascii="Arial" w:hAnsi="Arial" w:cs="Arial"/>
          <w:sz w:val="24"/>
        </w:rPr>
        <w:t xml:space="preserve">  </w:t>
      </w:r>
    </w:p>
    <w:p w:rsidR="00D8518C" w:rsidRPr="00330C1E" w:rsidRDefault="000112FD" w:rsidP="00C12756">
      <w:pPr>
        <w:rPr>
          <w:rFonts w:ascii="Arial" w:hAnsi="Arial" w:cs="Arial"/>
          <w:sz w:val="24"/>
        </w:rPr>
      </w:pPr>
      <w:r w:rsidRPr="00330C1E">
        <w:rPr>
          <w:rFonts w:ascii="Arial" w:hAnsi="Arial" w:cs="Arial"/>
          <w:sz w:val="24"/>
        </w:rPr>
        <w:t xml:space="preserve">OB10 offers simple and secure solutions </w:t>
      </w:r>
      <w:r w:rsidR="00F627F6" w:rsidRPr="00330C1E">
        <w:rPr>
          <w:rFonts w:ascii="Arial" w:hAnsi="Arial" w:cs="Arial"/>
          <w:sz w:val="24"/>
        </w:rPr>
        <w:t>that comply</w:t>
      </w:r>
      <w:r w:rsidRPr="00330C1E">
        <w:rPr>
          <w:rFonts w:ascii="Arial" w:hAnsi="Arial" w:cs="Arial"/>
          <w:sz w:val="24"/>
        </w:rPr>
        <w:t xml:space="preserve"> with HIPAA to </w:t>
      </w:r>
      <w:r w:rsidR="00B2729C" w:rsidRPr="00330C1E">
        <w:rPr>
          <w:rFonts w:ascii="Arial" w:hAnsi="Arial" w:cs="Arial"/>
          <w:sz w:val="24"/>
        </w:rPr>
        <w:t>cut</w:t>
      </w:r>
      <w:r w:rsidRPr="00330C1E">
        <w:rPr>
          <w:rFonts w:ascii="Arial" w:hAnsi="Arial" w:cs="Arial"/>
          <w:sz w:val="24"/>
        </w:rPr>
        <w:t xml:space="preserve"> the cost and time of processing paper invoices. </w:t>
      </w:r>
      <w:r w:rsidR="00D8518C" w:rsidRPr="00330C1E">
        <w:rPr>
          <w:rFonts w:ascii="Arial" w:hAnsi="Arial" w:cs="Arial"/>
          <w:sz w:val="24"/>
        </w:rPr>
        <w:t>The benefits to suppliers from using electronic rather than paper invoicing include the:</w:t>
      </w:r>
    </w:p>
    <w:p w:rsidR="00D8518C" w:rsidRPr="00330C1E" w:rsidRDefault="00D8518C" w:rsidP="00D8518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30C1E">
        <w:rPr>
          <w:rFonts w:ascii="Arial" w:hAnsi="Arial" w:cs="Arial"/>
          <w:sz w:val="24"/>
        </w:rPr>
        <w:t xml:space="preserve">Delivery of invoices directly into the </w:t>
      </w:r>
      <w:r w:rsidR="00EE3666" w:rsidRPr="00330C1E">
        <w:rPr>
          <w:rFonts w:ascii="Arial" w:hAnsi="Arial" w:cs="Arial"/>
          <w:sz w:val="24"/>
        </w:rPr>
        <w:t>VAFSC</w:t>
      </w:r>
      <w:r w:rsidR="006761B0" w:rsidRPr="00330C1E">
        <w:rPr>
          <w:rFonts w:ascii="Arial" w:hAnsi="Arial" w:cs="Arial"/>
          <w:sz w:val="24"/>
        </w:rPr>
        <w:t xml:space="preserve"> </w:t>
      </w:r>
      <w:r w:rsidRPr="00330C1E">
        <w:rPr>
          <w:rFonts w:ascii="Arial" w:hAnsi="Arial" w:cs="Arial"/>
          <w:sz w:val="24"/>
        </w:rPr>
        <w:t>payment system and routed nationally for approval</w:t>
      </w:r>
    </w:p>
    <w:p w:rsidR="00D8518C" w:rsidRPr="00330C1E" w:rsidRDefault="00D8518C" w:rsidP="00D8518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30C1E">
        <w:rPr>
          <w:rFonts w:ascii="Arial" w:hAnsi="Arial" w:cs="Arial"/>
          <w:sz w:val="24"/>
        </w:rPr>
        <w:t>Elimination of mail processing time, postage, and invoice receipt inquires</w:t>
      </w:r>
    </w:p>
    <w:p w:rsidR="00D8518C" w:rsidRPr="00330C1E" w:rsidRDefault="00D8518C" w:rsidP="00D8518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30C1E">
        <w:rPr>
          <w:rFonts w:ascii="Arial" w:hAnsi="Arial" w:cs="Arial"/>
          <w:sz w:val="24"/>
        </w:rPr>
        <w:t>Elimination of data error and lost or misplaced invoices</w:t>
      </w:r>
    </w:p>
    <w:p w:rsidR="00D8518C" w:rsidRPr="00330C1E" w:rsidRDefault="00D8518C" w:rsidP="00D8518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330C1E">
        <w:rPr>
          <w:rFonts w:ascii="Arial" w:hAnsi="Arial" w:cs="Arial"/>
          <w:sz w:val="24"/>
        </w:rPr>
        <w:t>Verification of invoice receipt and rejection through automated notification reports</w:t>
      </w:r>
    </w:p>
    <w:p w:rsidR="00D8518C" w:rsidRPr="00330C1E" w:rsidRDefault="00D8518C" w:rsidP="00C12756">
      <w:pPr>
        <w:rPr>
          <w:rFonts w:ascii="Arial" w:hAnsi="Arial" w:cs="Arial"/>
          <w:sz w:val="24"/>
        </w:rPr>
      </w:pPr>
      <w:r w:rsidRPr="00330C1E">
        <w:rPr>
          <w:rFonts w:ascii="Arial" w:hAnsi="Arial" w:cs="Arial"/>
          <w:sz w:val="24"/>
        </w:rPr>
        <w:t xml:space="preserve">The VAFSC’s vendor conversion plan will ensure a timely and smooth transition from </w:t>
      </w:r>
      <w:r w:rsidRPr="00330C1E">
        <w:rPr>
          <w:rFonts w:ascii="Arial" w:hAnsi="Arial" w:cs="Arial"/>
          <w:iCs/>
          <w:sz w:val="24"/>
        </w:rPr>
        <w:t>paper</w:t>
      </w:r>
      <w:r w:rsidRPr="00330C1E">
        <w:rPr>
          <w:rFonts w:ascii="Arial" w:hAnsi="Arial" w:cs="Arial"/>
          <w:sz w:val="24"/>
        </w:rPr>
        <w:t xml:space="preserve"> to approved electronic invoice submission</w:t>
      </w:r>
      <w:r w:rsidR="00365560" w:rsidRPr="00330C1E">
        <w:rPr>
          <w:rFonts w:ascii="Arial" w:hAnsi="Arial" w:cs="Arial"/>
          <w:sz w:val="24"/>
        </w:rPr>
        <w:t xml:space="preserve">. </w:t>
      </w:r>
    </w:p>
    <w:p w:rsidR="00C12756" w:rsidRPr="00330C1E" w:rsidRDefault="00C12756" w:rsidP="00C12756">
      <w:pPr>
        <w:rPr>
          <w:rFonts w:ascii="Arial" w:hAnsi="Arial" w:cs="Arial"/>
          <w:sz w:val="24"/>
        </w:rPr>
      </w:pPr>
      <w:r w:rsidRPr="00330C1E">
        <w:rPr>
          <w:rFonts w:ascii="Arial" w:hAnsi="Arial" w:cs="Arial"/>
          <w:sz w:val="24"/>
        </w:rPr>
        <w:t xml:space="preserve">For more information, contractors </w:t>
      </w:r>
      <w:r w:rsidR="003F4404" w:rsidRPr="00330C1E">
        <w:rPr>
          <w:rFonts w:ascii="Arial" w:hAnsi="Arial" w:cs="Arial"/>
          <w:sz w:val="24"/>
        </w:rPr>
        <w:t xml:space="preserve">should </w:t>
      </w:r>
      <w:r w:rsidRPr="00330C1E">
        <w:rPr>
          <w:rFonts w:ascii="Arial" w:hAnsi="Arial" w:cs="Arial"/>
          <w:sz w:val="24"/>
        </w:rPr>
        <w:t xml:space="preserve">go to </w:t>
      </w:r>
      <w:hyperlink r:id="rId7" w:history="1">
        <w:r w:rsidR="00F929FA" w:rsidRPr="00330C1E">
          <w:rPr>
            <w:rStyle w:val="Hyperlink"/>
            <w:rFonts w:ascii="Arial" w:hAnsi="Arial" w:cs="Arial"/>
            <w:sz w:val="24"/>
          </w:rPr>
          <w:t>www.ob10.com/veteransaffairs</w:t>
        </w:r>
      </w:hyperlink>
      <w:r w:rsidR="00F929FA" w:rsidRPr="00330C1E">
        <w:rPr>
          <w:rFonts w:ascii="Arial" w:hAnsi="Arial" w:cs="Arial"/>
          <w:sz w:val="24"/>
        </w:rPr>
        <w:t xml:space="preserve"> </w:t>
      </w:r>
    </w:p>
    <w:p w:rsidR="008F2CE7" w:rsidRPr="00330C1E" w:rsidRDefault="008F2CE7" w:rsidP="008F2CE7">
      <w:pPr>
        <w:jc w:val="center"/>
        <w:rPr>
          <w:rFonts w:ascii="Arial" w:hAnsi="Arial" w:cs="Arial"/>
          <w:sz w:val="24"/>
        </w:rPr>
      </w:pPr>
      <w:r w:rsidRPr="00330C1E">
        <w:rPr>
          <w:rFonts w:ascii="Arial" w:hAnsi="Arial" w:cs="Arial"/>
          <w:sz w:val="24"/>
        </w:rPr>
        <w:t xml:space="preserve">--- </w:t>
      </w:r>
      <w:proofErr w:type="gramStart"/>
      <w:r w:rsidRPr="00330C1E">
        <w:rPr>
          <w:rFonts w:ascii="Arial" w:hAnsi="Arial" w:cs="Arial"/>
          <w:sz w:val="24"/>
        </w:rPr>
        <w:t>ends</w:t>
      </w:r>
      <w:proofErr w:type="gramEnd"/>
      <w:r w:rsidRPr="00330C1E">
        <w:rPr>
          <w:rFonts w:ascii="Arial" w:hAnsi="Arial" w:cs="Arial"/>
          <w:sz w:val="24"/>
        </w:rPr>
        <w:t xml:space="preserve"> ---</w:t>
      </w:r>
    </w:p>
    <w:p w:rsidR="008F2CE7" w:rsidRPr="00330C1E" w:rsidRDefault="008F2CE7" w:rsidP="008F2CE7">
      <w:pPr>
        <w:spacing w:before="240" w:after="0" w:line="240" w:lineRule="auto"/>
        <w:jc w:val="both"/>
        <w:rPr>
          <w:b/>
          <w:sz w:val="24"/>
        </w:rPr>
      </w:pPr>
      <w:r w:rsidRPr="00330C1E">
        <w:rPr>
          <w:b/>
          <w:sz w:val="24"/>
        </w:rPr>
        <w:t>About OB10</w:t>
      </w:r>
    </w:p>
    <w:p w:rsidR="008F2CE7" w:rsidRPr="00330C1E" w:rsidRDefault="008F2CE7" w:rsidP="008F2CE7">
      <w:pPr>
        <w:spacing w:after="0" w:line="360" w:lineRule="auto"/>
        <w:rPr>
          <w:sz w:val="24"/>
        </w:rPr>
      </w:pPr>
      <w:r w:rsidRPr="00330C1E">
        <w:rPr>
          <w:bCs/>
          <w:sz w:val="24"/>
        </w:rPr>
        <w:t>OB10 (</w:t>
      </w:r>
      <w:hyperlink r:id="rId8" w:history="1">
        <w:r w:rsidRPr="00330C1E">
          <w:rPr>
            <w:rStyle w:val="Hyperlink"/>
            <w:rFonts w:cstheme="minorBidi"/>
            <w:bCs/>
            <w:sz w:val="24"/>
          </w:rPr>
          <w:t>www.OB10.com</w:t>
        </w:r>
      </w:hyperlink>
      <w:r w:rsidRPr="00330C1E">
        <w:rPr>
          <w:bCs/>
          <w:sz w:val="24"/>
        </w:rPr>
        <w:t xml:space="preserve">), the e-Invoicing network, simplifies and streamlines the complex invoice-to-pay process to enable prompt payment. Operational across Europe, North America and Asia, OB10 can reduce the cost of invoice processing by 60% and deliver an ROI in less than a year. </w:t>
      </w:r>
    </w:p>
    <w:p w:rsidR="008F2CE7" w:rsidRPr="00330C1E" w:rsidRDefault="008F2CE7" w:rsidP="008F2CE7">
      <w:pPr>
        <w:spacing w:after="240" w:line="360" w:lineRule="auto"/>
        <w:rPr>
          <w:bCs/>
          <w:sz w:val="24"/>
        </w:rPr>
      </w:pPr>
      <w:r w:rsidRPr="00330C1E">
        <w:rPr>
          <w:bCs/>
          <w:sz w:val="24"/>
        </w:rPr>
        <w:lastRenderedPageBreak/>
        <w:t>The OB10 network connects over 120,000 suppliers to large buyers, such as Aviva, Cargill, Deutsche Lufthansa, Nomura, Eli Lilly &amp; Company, General Motors, GlaxoSmithKline, IBM, Kellogg’s, Motorola, Tesco, US Federal Government and Whirlpool.</w:t>
      </w:r>
    </w:p>
    <w:p w:rsidR="008F2CE7" w:rsidRPr="00330C1E" w:rsidRDefault="008F2CE7" w:rsidP="008F2CE7">
      <w:pPr>
        <w:spacing w:after="0"/>
        <w:rPr>
          <w:sz w:val="24"/>
        </w:rPr>
      </w:pPr>
      <w:r w:rsidRPr="00330C1E">
        <w:rPr>
          <w:b/>
          <w:sz w:val="24"/>
        </w:rPr>
        <w:t>Contact: Sandra Higgison, Head of Global Communications, OB10</w:t>
      </w:r>
    </w:p>
    <w:p w:rsidR="008F2CE7" w:rsidRPr="00330C1E" w:rsidRDefault="008F2CE7" w:rsidP="008F2CE7">
      <w:pPr>
        <w:spacing w:after="0"/>
        <w:rPr>
          <w:sz w:val="24"/>
        </w:rPr>
      </w:pPr>
      <w:r w:rsidRPr="00330C1E">
        <w:rPr>
          <w:sz w:val="24"/>
        </w:rPr>
        <w:t xml:space="preserve">P: +44 (0)20 7406 5772 </w:t>
      </w:r>
    </w:p>
    <w:p w:rsidR="008F2CE7" w:rsidRPr="00330C1E" w:rsidRDefault="008F2CE7" w:rsidP="008F2CE7">
      <w:pPr>
        <w:spacing w:after="0"/>
        <w:rPr>
          <w:rStyle w:val="Hyperlink"/>
          <w:rFonts w:cstheme="minorBidi"/>
          <w:sz w:val="24"/>
        </w:rPr>
      </w:pPr>
      <w:r w:rsidRPr="00330C1E">
        <w:rPr>
          <w:sz w:val="24"/>
        </w:rPr>
        <w:t xml:space="preserve">E: </w:t>
      </w:r>
      <w:hyperlink r:id="rId9" w:history="1">
        <w:r w:rsidRPr="00330C1E">
          <w:rPr>
            <w:rStyle w:val="Hyperlink"/>
            <w:rFonts w:cstheme="minorBidi"/>
            <w:sz w:val="24"/>
          </w:rPr>
          <w:t>sandra.higgison@OB10.com</w:t>
        </w:r>
      </w:hyperlink>
    </w:p>
    <w:p w:rsidR="00B72C0D" w:rsidRPr="00330C1E" w:rsidRDefault="00B72C0D">
      <w:pPr>
        <w:rPr>
          <w:sz w:val="24"/>
        </w:rPr>
      </w:pPr>
    </w:p>
    <w:p w:rsidR="008F2CE7" w:rsidRPr="00330C1E" w:rsidRDefault="008F2CE7">
      <w:pPr>
        <w:rPr>
          <w:sz w:val="24"/>
        </w:rPr>
      </w:pPr>
    </w:p>
    <w:sectPr w:rsidR="008F2CE7" w:rsidRPr="00330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0A11"/>
    <w:multiLevelType w:val="hybridMultilevel"/>
    <w:tmpl w:val="5BDA57AC"/>
    <w:lvl w:ilvl="0" w:tplc="F0BC0B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FD"/>
    <w:rsid w:val="000112FD"/>
    <w:rsid w:val="002966EC"/>
    <w:rsid w:val="002D3838"/>
    <w:rsid w:val="00330C1E"/>
    <w:rsid w:val="00365560"/>
    <w:rsid w:val="003B1AD8"/>
    <w:rsid w:val="003F4404"/>
    <w:rsid w:val="003F50F6"/>
    <w:rsid w:val="004C6579"/>
    <w:rsid w:val="004E6C1B"/>
    <w:rsid w:val="00574485"/>
    <w:rsid w:val="00585B9E"/>
    <w:rsid w:val="005A44C4"/>
    <w:rsid w:val="00614940"/>
    <w:rsid w:val="006326B6"/>
    <w:rsid w:val="006761B0"/>
    <w:rsid w:val="00793CAC"/>
    <w:rsid w:val="008E5F71"/>
    <w:rsid w:val="008F2CE7"/>
    <w:rsid w:val="00A41F12"/>
    <w:rsid w:val="00AD256E"/>
    <w:rsid w:val="00B2729C"/>
    <w:rsid w:val="00B72C0D"/>
    <w:rsid w:val="00C12756"/>
    <w:rsid w:val="00CF559C"/>
    <w:rsid w:val="00D1607B"/>
    <w:rsid w:val="00D8518C"/>
    <w:rsid w:val="00EE3666"/>
    <w:rsid w:val="00F627F6"/>
    <w:rsid w:val="00F929FA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F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2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18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18C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29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F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2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1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18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18C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29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10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b10.com/veteransaffai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deralregister.gov/a/2012-286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dra.higgison@OB1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OB10 Ltd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Thayer Stewart</dc:creator>
  <cp:lastModifiedBy>Sandlin, Ben</cp:lastModifiedBy>
  <cp:revision>2</cp:revision>
  <dcterms:created xsi:type="dcterms:W3CDTF">2013-02-26T13:19:00Z</dcterms:created>
  <dcterms:modified xsi:type="dcterms:W3CDTF">2013-02-26T13:19:00Z</dcterms:modified>
</cp:coreProperties>
</file>